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jc w:val="left"/>
        <w:rPr>
          <w:rFonts w:ascii="宋体" w:hAnsi="宋体" w:eastAsia="仿宋_GB2312" w:cs="宋体"/>
          <w:color w:val="555555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555555"/>
          <w:kern w:val="0"/>
          <w:sz w:val="32"/>
          <w:szCs w:val="32"/>
        </w:rPr>
        <w:t>附件1</w:t>
      </w:r>
      <w:r>
        <w:rPr>
          <w:rFonts w:hint="eastAsia" w:ascii="宋体" w:hAnsi="宋体" w:eastAsia="仿宋_GB2312" w:cs="宋体"/>
          <w:color w:val="555555"/>
          <w:kern w:val="0"/>
          <w:sz w:val="32"/>
          <w:szCs w:val="32"/>
        </w:rPr>
        <w:t>      </w:t>
      </w:r>
    </w:p>
    <w:p>
      <w:pPr>
        <w:widowControl/>
        <w:spacing w:line="450" w:lineRule="atLeast"/>
        <w:jc w:val="center"/>
        <w:rPr>
          <w:rFonts w:ascii="仿宋_GB2312" w:hAnsi="宋体" w:eastAsia="仿宋_GB2312" w:cs="宋体"/>
          <w:b/>
          <w:color w:val="555555"/>
          <w:kern w:val="0"/>
          <w:sz w:val="36"/>
          <w:szCs w:val="36"/>
        </w:rPr>
      </w:pPr>
      <w:r>
        <w:rPr>
          <w:rFonts w:hint="eastAsia" w:ascii="仿宋_GB2312" w:hAnsi="宋体" w:cs="宋体"/>
          <w:b/>
          <w:color w:val="555555"/>
          <w:kern w:val="0"/>
          <w:sz w:val="36"/>
          <w:szCs w:val="36"/>
        </w:rPr>
        <w:t>埇</w:t>
      </w:r>
      <w:r>
        <w:rPr>
          <w:rFonts w:hint="eastAsia" w:ascii="仿宋_GB2312" w:hAnsi="宋体" w:eastAsia="仿宋_GB2312" w:cs="宋体"/>
          <w:b/>
          <w:color w:val="555555"/>
          <w:kern w:val="0"/>
          <w:sz w:val="36"/>
          <w:szCs w:val="36"/>
        </w:rPr>
        <w:t>桥区医疗服务信息社会公开内容</w:t>
      </w:r>
    </w:p>
    <w:p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  <w:r>
        <w:rPr>
          <w:rFonts w:ascii="宋体" w:hAnsi="宋体" w:cs="宋体"/>
          <w:color w:val="555555"/>
          <w:kern w:val="0"/>
          <w:szCs w:val="21"/>
        </w:rPr>
        <w:t> </w:t>
      </w:r>
      <w:r>
        <w:rPr>
          <w:rFonts w:hint="eastAsia" w:ascii="宋体" w:hAnsi="宋体" w:cs="宋体"/>
          <w:color w:val="555555"/>
          <w:kern w:val="0"/>
          <w:szCs w:val="21"/>
        </w:rPr>
        <w:t>2019年第</w:t>
      </w:r>
      <w:r>
        <w:rPr>
          <w:rFonts w:hint="eastAsia" w:ascii="宋体" w:hAnsi="宋体" w:cs="宋体"/>
          <w:color w:val="555555"/>
          <w:kern w:val="0"/>
          <w:szCs w:val="21"/>
          <w:lang w:eastAsia="zh-CN"/>
        </w:rPr>
        <w:t>三</w:t>
      </w:r>
      <w:r>
        <w:rPr>
          <w:rFonts w:hint="eastAsia" w:ascii="宋体" w:hAnsi="宋体" w:cs="宋体"/>
          <w:color w:val="555555"/>
          <w:kern w:val="0"/>
          <w:szCs w:val="21"/>
        </w:rPr>
        <w:t>季度（</w:t>
      </w:r>
      <w:r>
        <w:rPr>
          <w:rFonts w:hint="eastAsia" w:ascii="宋体" w:hAnsi="宋体" w:cs="宋体"/>
          <w:color w:val="555555"/>
          <w:kern w:val="0"/>
          <w:szCs w:val="21"/>
          <w:lang w:val="en-US" w:eastAsia="zh-CN"/>
        </w:rPr>
        <w:t>7</w:t>
      </w:r>
      <w:r>
        <w:rPr>
          <w:rFonts w:hint="eastAsia" w:ascii="宋体" w:hAnsi="宋体" w:cs="宋体"/>
          <w:color w:val="555555"/>
          <w:kern w:val="0"/>
          <w:szCs w:val="21"/>
        </w:rPr>
        <w:t>-</w:t>
      </w:r>
      <w:r>
        <w:rPr>
          <w:rFonts w:hint="eastAsia" w:ascii="宋体" w:hAnsi="宋体" w:cs="宋体"/>
          <w:color w:val="555555"/>
          <w:kern w:val="0"/>
          <w:szCs w:val="21"/>
          <w:lang w:val="en-US" w:eastAsia="zh-CN"/>
        </w:rPr>
        <w:t>9</w:t>
      </w:r>
      <w:r>
        <w:rPr>
          <w:rFonts w:hint="eastAsia" w:ascii="宋体" w:hAnsi="宋体" w:cs="宋体"/>
          <w:color w:val="555555"/>
          <w:kern w:val="0"/>
          <w:szCs w:val="21"/>
        </w:rPr>
        <w:t xml:space="preserve">月）  </w:t>
      </w:r>
    </w:p>
    <w:tbl>
      <w:tblPr>
        <w:tblStyle w:val="2"/>
        <w:tblpPr w:leftFromText="180" w:rightFromText="180" w:vertAnchor="text" w:tblpY="1"/>
        <w:tblOverlap w:val="never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607"/>
        <w:gridCol w:w="540"/>
        <w:gridCol w:w="11"/>
        <w:gridCol w:w="177"/>
        <w:gridCol w:w="162"/>
        <w:gridCol w:w="561"/>
        <w:gridCol w:w="360"/>
        <w:gridCol w:w="1522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信息分类</w:t>
            </w:r>
          </w:p>
        </w:tc>
        <w:tc>
          <w:tcPr>
            <w:tcW w:w="4418" w:type="dxa"/>
            <w:gridSpan w:val="7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指标项目</w:t>
            </w:r>
            <w:r>
              <w:rPr>
                <w:rFonts w:hint="eastAsia" w:ascii="宋体" w:hAnsi="宋体" w:cs="宋体"/>
                <w:color w:val="555555"/>
                <w:kern w:val="0"/>
                <w:sz w:val="24"/>
              </w:rPr>
              <w:t>2019年一季度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w w:val="97"/>
                <w:kern w:val="0"/>
                <w:sz w:val="24"/>
                <w:fitText w:val="960" w:id="0"/>
              </w:rPr>
              <w:t>本期数</w:t>
            </w:r>
            <w:r>
              <w:rPr>
                <w:rFonts w:ascii="宋体" w:hAnsi="宋体" w:cs="宋体"/>
                <w:color w:val="555555"/>
                <w:spacing w:val="33"/>
                <w:w w:val="97"/>
                <w:kern w:val="0"/>
                <w:sz w:val="24"/>
                <w:fitText w:val="960" w:id="0"/>
              </w:rPr>
              <w:t>值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w w:val="97"/>
                <w:kern w:val="0"/>
                <w:sz w:val="24"/>
                <w:fitText w:val="960" w:id="1"/>
              </w:rPr>
              <w:t>上期数</w:t>
            </w:r>
            <w:r>
              <w:rPr>
                <w:rFonts w:ascii="宋体" w:hAnsi="宋体" w:cs="宋体"/>
                <w:color w:val="555555"/>
                <w:spacing w:val="33"/>
                <w:w w:val="97"/>
                <w:kern w:val="0"/>
                <w:sz w:val="24"/>
                <w:fitText w:val="960" w:id="1"/>
              </w:rPr>
              <w:t>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2" w:type="dxa"/>
            <w:vMerge w:val="restart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1.基本情况</w:t>
            </w:r>
          </w:p>
        </w:tc>
        <w:tc>
          <w:tcPr>
            <w:tcW w:w="4418" w:type="dxa"/>
            <w:gridSpan w:val="7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1.1医疗机构等级与综合/专科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</w:rPr>
              <w:t>二甲综合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</w:rPr>
              <w:t>二甲综合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3335" w:type="dxa"/>
            <w:gridSpan w:val="4"/>
            <w:vMerge w:val="restart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1.2 重点（特色）专科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国家级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3335" w:type="dxa"/>
            <w:gridSpan w:val="4"/>
            <w:vMerge w:val="continue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省  级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3335" w:type="dxa"/>
            <w:gridSpan w:val="4"/>
            <w:vMerge w:val="continue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市  级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Cs w:val="21"/>
                <w:lang w:eastAsia="zh-CN"/>
              </w:rPr>
              <w:t>神经内科、消化内科、麻醉科、重症医学科、泌尿外科、心内科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Cs w:val="21"/>
                <w:lang w:eastAsia="zh-CN"/>
              </w:rPr>
              <w:t>神经内科、消化内科、麻醉科、重症医学科、泌尿外科、心内科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3335" w:type="dxa"/>
            <w:gridSpan w:val="4"/>
            <w:vMerge w:val="continue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院  级</w:t>
            </w:r>
          </w:p>
        </w:tc>
        <w:tc>
          <w:tcPr>
            <w:tcW w:w="1522" w:type="dxa"/>
            <w:vAlign w:val="center"/>
          </w:tcPr>
          <w:p/>
        </w:tc>
        <w:tc>
          <w:tcPr>
            <w:tcW w:w="153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2" w:type="dxa"/>
            <w:vMerge w:val="restart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医疗费用</w:t>
            </w:r>
            <w:r>
              <w:rPr>
                <w:rFonts w:hint="eastAsia" w:ascii="宋体" w:hAnsi="宋体" w:cs="宋体"/>
                <w:color w:val="555555"/>
                <w:kern w:val="0"/>
                <w:sz w:val="24"/>
              </w:rPr>
              <w:t xml:space="preserve">(2.1—2.5 </w:t>
            </w:r>
          </w:p>
          <w:p>
            <w:pPr>
              <w:widowControl/>
              <w:spacing w:line="450" w:lineRule="atLeast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</w:rPr>
              <w:t>财务科填写）</w:t>
            </w:r>
          </w:p>
          <w:p>
            <w:pPr>
              <w:widowControl/>
              <w:spacing w:line="450" w:lineRule="atLeast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  <w:p>
            <w:pPr>
              <w:widowControl/>
              <w:spacing w:line="450" w:lineRule="atLeast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  <w:p>
            <w:pPr>
              <w:widowControl/>
              <w:spacing w:line="450" w:lineRule="atLeast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  <w:p>
            <w:pPr>
              <w:widowControl/>
              <w:spacing w:line="450" w:lineRule="atLeast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  <w:p>
            <w:pPr>
              <w:widowControl/>
              <w:spacing w:line="450" w:lineRule="atLeast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</w:rPr>
              <w:t>（2.6医保科填写）</w:t>
            </w:r>
          </w:p>
        </w:tc>
        <w:tc>
          <w:tcPr>
            <w:tcW w:w="4418" w:type="dxa"/>
            <w:gridSpan w:val="7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2.1 门诊患者人均医疗费用（元）</w:t>
            </w:r>
          </w:p>
        </w:tc>
        <w:tc>
          <w:tcPr>
            <w:tcW w:w="1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219.49 </w:t>
            </w:r>
          </w:p>
        </w:tc>
        <w:tc>
          <w:tcPr>
            <w:tcW w:w="153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208.23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4418" w:type="dxa"/>
            <w:gridSpan w:val="7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2.2 住院患者人均医疗费用（元）</w:t>
            </w:r>
          </w:p>
        </w:tc>
        <w:tc>
          <w:tcPr>
            <w:tcW w:w="1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5603.26 </w:t>
            </w:r>
          </w:p>
        </w:tc>
        <w:tc>
          <w:tcPr>
            <w:tcW w:w="153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5,452.69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2.3 药品占比（%）</w:t>
            </w:r>
          </w:p>
        </w:tc>
        <w:tc>
          <w:tcPr>
            <w:tcW w:w="1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Theme="minorEastAsia" w:hAnsiTheme="minorEastAsia" w:cstheme="minorEastAsia"/>
                <w:b w:val="0"/>
                <w:bCs w:val="0"/>
                <w:color w:val="555555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22.67%</w:t>
            </w:r>
          </w:p>
        </w:tc>
        <w:tc>
          <w:tcPr>
            <w:tcW w:w="153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2.3.1中药饮片占比（%）</w:t>
            </w:r>
          </w:p>
        </w:tc>
        <w:tc>
          <w:tcPr>
            <w:tcW w:w="1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Theme="minorEastAsia" w:hAnsiTheme="minorEastAsia" w:cstheme="minorEastAsia"/>
                <w:b w:val="0"/>
                <w:bCs w:val="0"/>
                <w:color w:val="555555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4.44%</w:t>
            </w:r>
          </w:p>
        </w:tc>
        <w:tc>
          <w:tcPr>
            <w:tcW w:w="153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2.4 耗材占比（%）</w:t>
            </w:r>
          </w:p>
        </w:tc>
        <w:tc>
          <w:tcPr>
            <w:tcW w:w="1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Theme="minorEastAsia" w:hAnsiTheme="minorEastAsia" w:cstheme="minorEastAsia"/>
                <w:b w:val="0"/>
                <w:bCs w:val="0"/>
                <w:color w:val="555555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14.50%</w:t>
            </w:r>
          </w:p>
        </w:tc>
        <w:tc>
          <w:tcPr>
            <w:tcW w:w="153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7478" w:type="dxa"/>
            <w:gridSpan w:val="9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2.5医疗机构住院患者单病种平均费用（见附件2）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3158" w:type="dxa"/>
            <w:gridSpan w:val="3"/>
            <w:vMerge w:val="restart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2.6 医保及新农合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实际报销比例（%）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城镇职工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cs="宋体" w:eastAsiaTheme="minorEastAsia"/>
                <w:color w:val="555555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Cs w:val="21"/>
                <w:lang w:val="en-US" w:eastAsia="zh-CN"/>
              </w:rPr>
              <w:t>68.10%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Cs w:val="21"/>
              </w:rPr>
              <w:t>65.58%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315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新 农 合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cs="宋体" w:eastAsiaTheme="minorEastAsia"/>
                <w:color w:val="555555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Cs w:val="21"/>
                <w:lang w:val="en-US" w:eastAsia="zh-CN"/>
              </w:rPr>
              <w:t>69.36%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Cs w:val="21"/>
              </w:rPr>
              <w:t>71.71%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315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城镇居民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cs="宋体" w:eastAsiaTheme="minorEastAsia"/>
                <w:color w:val="555555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Cs w:val="21"/>
                <w:lang w:val="en-US" w:eastAsia="zh-CN"/>
              </w:rPr>
              <w:t>65.98%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Cs w:val="21"/>
              </w:rPr>
              <w:t>68.31%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2" w:type="dxa"/>
            <w:vMerge w:val="restart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医疗质量</w:t>
            </w:r>
            <w:r>
              <w:rPr>
                <w:rFonts w:hint="eastAsia" w:ascii="宋体" w:hAnsi="宋体" w:cs="宋体"/>
                <w:color w:val="555555"/>
                <w:kern w:val="0"/>
                <w:sz w:val="24"/>
              </w:rPr>
              <w:t>（3.1—3.5信息中心填写）</w:t>
            </w:r>
          </w:p>
          <w:p>
            <w:pPr>
              <w:widowControl/>
              <w:spacing w:line="450" w:lineRule="atLeast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  <w:p>
            <w:pPr>
              <w:widowControl/>
              <w:spacing w:line="450" w:lineRule="atLeast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</w:rPr>
              <w:t>（3.6药事科填写）</w:t>
            </w:r>
          </w:p>
          <w:p>
            <w:pPr>
              <w:widowControl/>
              <w:spacing w:line="450" w:lineRule="atLeast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  <w:p>
            <w:pPr>
              <w:widowControl/>
              <w:spacing w:line="450" w:lineRule="atLeast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</w:rPr>
              <w:t>（3.9护理部填写）</w:t>
            </w:r>
          </w:p>
        </w:tc>
        <w:tc>
          <w:tcPr>
            <w:tcW w:w="4418" w:type="dxa"/>
            <w:gridSpan w:val="7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3.1治愈好转率（%）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  <w:lang w:val="en-US" w:eastAsia="zh-CN"/>
              </w:rPr>
              <w:t>86.2</w:t>
            </w:r>
            <w:r>
              <w:rPr>
                <w:rFonts w:hint="eastAsia" w:ascii="宋体" w:hAnsi="宋体" w:cs="宋体"/>
                <w:color w:val="555555"/>
                <w:kern w:val="0"/>
                <w:sz w:val="24"/>
              </w:rPr>
              <w:t>%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  <w:lang w:val="en-US" w:eastAsia="zh-CN"/>
              </w:rPr>
              <w:t>89.1</w:t>
            </w:r>
            <w:r>
              <w:rPr>
                <w:rFonts w:hint="eastAsia" w:ascii="宋体" w:hAnsi="宋体" w:cs="宋体"/>
                <w:color w:val="555555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3.2 入出院诊断符合率（%）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  <w:lang w:val="en-US" w:eastAsia="zh-CN"/>
              </w:rPr>
              <w:t>99.2</w:t>
            </w:r>
            <w:r>
              <w:rPr>
                <w:rFonts w:hint="eastAsia" w:ascii="宋体" w:hAnsi="宋体" w:cs="宋体"/>
                <w:color w:val="555555"/>
                <w:kern w:val="0"/>
                <w:sz w:val="24"/>
              </w:rPr>
              <w:t>%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  <w:lang w:val="en-US" w:eastAsia="zh-CN"/>
              </w:rPr>
              <w:t>99.0</w:t>
            </w:r>
            <w:r>
              <w:rPr>
                <w:rFonts w:hint="eastAsia" w:ascii="宋体" w:hAnsi="宋体" w:cs="宋体"/>
                <w:color w:val="555555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3.3 手术前后诊断符合率（%）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  <w:lang w:val="en-US" w:eastAsia="zh-CN"/>
              </w:rPr>
              <w:t>98.4</w:t>
            </w:r>
            <w:r>
              <w:rPr>
                <w:rFonts w:hint="eastAsia" w:ascii="宋体" w:hAnsi="宋体" w:cs="宋体"/>
                <w:color w:val="555555"/>
                <w:kern w:val="0"/>
                <w:sz w:val="24"/>
              </w:rPr>
              <w:t>%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  <w:lang w:val="en-US" w:eastAsia="zh-CN"/>
              </w:rPr>
              <w:t>98.5</w:t>
            </w:r>
            <w:r>
              <w:rPr>
                <w:rFonts w:hint="eastAsia" w:ascii="宋体" w:hAnsi="宋体" w:cs="宋体"/>
                <w:color w:val="555555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3.4 急诊抢救成功率（%）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  <w:lang w:val="en-US" w:eastAsia="zh-CN"/>
              </w:rPr>
              <w:t>73.2</w:t>
            </w:r>
            <w:r>
              <w:rPr>
                <w:rFonts w:hint="eastAsia" w:ascii="宋体" w:hAnsi="宋体" w:cs="宋体"/>
                <w:color w:val="555555"/>
                <w:kern w:val="0"/>
                <w:sz w:val="24"/>
              </w:rPr>
              <w:t>%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  <w:lang w:val="en-US" w:eastAsia="zh-CN"/>
              </w:rPr>
              <w:t>75.6</w:t>
            </w:r>
            <w:r>
              <w:rPr>
                <w:rFonts w:hint="eastAsia" w:ascii="宋体" w:hAnsi="宋体" w:cs="宋体"/>
                <w:color w:val="555555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3497" w:type="dxa"/>
            <w:gridSpan w:val="5"/>
            <w:vMerge w:val="restart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3.5大型设备检查阳性率（%）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彩超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  <w:lang w:val="en-US" w:eastAsia="zh-CN"/>
              </w:rPr>
              <w:t>72</w:t>
            </w:r>
            <w:r>
              <w:rPr>
                <w:rFonts w:hint="eastAsia" w:ascii="宋体" w:hAnsi="宋体" w:cs="宋体"/>
                <w:color w:val="555555"/>
                <w:kern w:val="0"/>
                <w:sz w:val="24"/>
              </w:rPr>
              <w:t>%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  <w:lang w:val="en-US" w:eastAsia="zh-CN"/>
              </w:rPr>
              <w:t>71</w:t>
            </w:r>
            <w:r>
              <w:rPr>
                <w:rFonts w:hint="eastAsia" w:ascii="宋体" w:hAnsi="宋体" w:cs="宋体"/>
                <w:color w:val="555555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3497" w:type="dxa"/>
            <w:gridSpan w:val="5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CT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  <w:lang w:val="en-US" w:eastAsia="zh-CN"/>
              </w:rPr>
              <w:t>82</w:t>
            </w:r>
            <w:r>
              <w:rPr>
                <w:rFonts w:hint="eastAsia" w:ascii="宋体" w:hAnsi="宋体" w:cs="宋体"/>
                <w:color w:val="555555"/>
                <w:kern w:val="0"/>
                <w:sz w:val="24"/>
              </w:rPr>
              <w:t>%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  <w:lang w:val="en-US" w:eastAsia="zh-CN"/>
              </w:rPr>
              <w:t>83</w:t>
            </w:r>
            <w:r>
              <w:rPr>
                <w:rFonts w:hint="eastAsia" w:ascii="宋体" w:hAnsi="宋体" w:cs="宋体"/>
                <w:color w:val="555555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3497" w:type="dxa"/>
            <w:gridSpan w:val="5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MRI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  <w:lang w:val="en-US" w:eastAsia="zh-CN"/>
              </w:rPr>
              <w:t>88</w:t>
            </w:r>
            <w:r>
              <w:rPr>
                <w:rFonts w:hint="eastAsia" w:ascii="宋体" w:hAnsi="宋体" w:cs="宋体"/>
                <w:color w:val="555555"/>
                <w:kern w:val="0"/>
                <w:sz w:val="24"/>
              </w:rPr>
              <w:t>%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  <w:lang w:val="en-US" w:eastAsia="zh-CN"/>
              </w:rPr>
              <w:t>89</w:t>
            </w:r>
            <w:r>
              <w:rPr>
                <w:rFonts w:hint="eastAsia" w:ascii="宋体" w:hAnsi="宋体" w:cs="宋体"/>
                <w:color w:val="555555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3.6抗菌药物使用强度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eastAsia="宋体" w:cs="宋体"/>
                <w:color w:val="555555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  <w:lang w:val="en-US" w:eastAsia="zh-CN"/>
              </w:rPr>
              <w:t>37.76%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eastAsia="宋体" w:cs="宋体"/>
                <w:color w:val="555555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  <w:lang w:val="en-US" w:eastAsia="zh-CN"/>
              </w:rPr>
              <w:t>36.28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3.7门诊输液率（%）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3.8无菌手术切口感染率（%）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3.9 住院患者压疮发生率（%）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2" w:type="dxa"/>
            <w:vMerge w:val="restart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运行效率</w:t>
            </w:r>
          </w:p>
          <w:p>
            <w:pPr>
              <w:widowControl/>
              <w:spacing w:line="450" w:lineRule="atLeast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</w:rPr>
              <w:t>（4.1服务中心填写）</w:t>
            </w:r>
          </w:p>
          <w:p>
            <w:pPr>
              <w:widowControl/>
              <w:spacing w:line="450" w:lineRule="atLeast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</w:rPr>
              <w:t>(4.2—4.4信息中心填写）</w:t>
            </w:r>
          </w:p>
        </w:tc>
        <w:tc>
          <w:tcPr>
            <w:tcW w:w="4418" w:type="dxa"/>
            <w:gridSpan w:val="7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4.1 门诊挂号预约率（%）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2607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4.2 术前待床日（天）</w:t>
            </w:r>
          </w:p>
        </w:tc>
        <w:tc>
          <w:tcPr>
            <w:tcW w:w="728" w:type="dxa"/>
            <w:gridSpan w:val="3"/>
            <w:tcBorders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二类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三类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四类</w:t>
            </w:r>
          </w:p>
        </w:tc>
        <w:tc>
          <w:tcPr>
            <w:tcW w:w="723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Cs w:val="21"/>
              </w:rPr>
              <w:t>无分类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</w:rPr>
              <w:t>1.5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4.3病床使用率（%）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  <w:lang w:val="en-US" w:eastAsia="zh-CN"/>
              </w:rPr>
              <w:t>96.3</w:t>
            </w:r>
            <w:r>
              <w:rPr>
                <w:rFonts w:hint="eastAsia" w:ascii="宋体" w:hAnsi="宋体" w:cs="宋体"/>
                <w:color w:val="555555"/>
                <w:kern w:val="0"/>
                <w:sz w:val="24"/>
              </w:rPr>
              <w:t>%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  <w:lang w:val="en-US" w:eastAsia="zh-CN"/>
              </w:rPr>
              <w:t>92.0</w:t>
            </w:r>
            <w:r>
              <w:rPr>
                <w:rFonts w:hint="eastAsia" w:ascii="宋体" w:hAnsi="宋体" w:cs="宋体"/>
                <w:color w:val="555555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4.4 出院者平均住院日（天）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</w:rPr>
              <w:t>6.0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cs="宋体" w:eastAsiaTheme="minorEastAsia"/>
                <w:color w:val="555555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  <w:lang w:val="en-US" w:eastAsia="zh-CN"/>
              </w:rPr>
              <w:t>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vMerge w:val="restart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5.患者满意度</w:t>
            </w:r>
          </w:p>
        </w:tc>
        <w:tc>
          <w:tcPr>
            <w:tcW w:w="3147" w:type="dxa"/>
            <w:gridSpan w:val="2"/>
            <w:vMerge w:val="restart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总体满意度（%）</w:t>
            </w:r>
          </w:p>
        </w:tc>
        <w:tc>
          <w:tcPr>
            <w:tcW w:w="1271" w:type="dxa"/>
            <w:gridSpan w:val="5"/>
            <w:tcBorders>
              <w:top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Cs w:val="21"/>
              </w:rPr>
              <w:t>门诊患者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cs="宋体" w:eastAsiaTheme="minorEastAsia"/>
                <w:color w:val="555555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Cs w:val="21"/>
                <w:lang w:val="en-US" w:eastAsia="zh-CN"/>
              </w:rPr>
              <w:t>98.65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3147" w:type="dxa"/>
            <w:gridSpan w:val="2"/>
            <w:vMerge w:val="continue"/>
            <w:vAlign w:val="center"/>
          </w:tcPr>
          <w:p>
            <w:pPr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271" w:type="dxa"/>
            <w:gridSpan w:val="5"/>
            <w:vAlign w:val="center"/>
          </w:tcPr>
          <w:p>
            <w:pPr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</w:rPr>
              <w:t>住院患者</w:t>
            </w:r>
          </w:p>
        </w:tc>
        <w:tc>
          <w:tcPr>
            <w:tcW w:w="1522" w:type="dxa"/>
            <w:vAlign w:val="center"/>
          </w:tcPr>
          <w:p>
            <w:pPr>
              <w:spacing w:line="450" w:lineRule="atLeast"/>
              <w:ind w:firstLine="120" w:firstLineChars="50"/>
              <w:jc w:val="center"/>
              <w:rPr>
                <w:rFonts w:hint="default" w:ascii="宋体" w:hAnsi="宋体" w:cs="宋体" w:eastAsiaTheme="minorEastAsia"/>
                <w:color w:val="555555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  <w:lang w:val="en-US" w:eastAsia="zh-CN"/>
              </w:rPr>
              <w:t>98.47</w:t>
            </w:r>
          </w:p>
        </w:tc>
        <w:tc>
          <w:tcPr>
            <w:tcW w:w="1538" w:type="dxa"/>
            <w:vAlign w:val="center"/>
          </w:tcPr>
          <w:p>
            <w:pPr>
              <w:spacing w:line="450" w:lineRule="atLeast"/>
              <w:ind w:firstLine="120" w:firstLineChars="50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  <w:lang w:val="en-US" w:eastAsia="zh-CN"/>
              </w:rPr>
              <w:t>97.88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3147" w:type="dxa"/>
            <w:gridSpan w:val="2"/>
            <w:vMerge w:val="continue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271" w:type="dxa"/>
            <w:gridSpan w:val="5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</w:rPr>
              <w:t>出院患者</w:t>
            </w:r>
          </w:p>
        </w:tc>
        <w:tc>
          <w:tcPr>
            <w:tcW w:w="1522" w:type="dxa"/>
            <w:vAlign w:val="center"/>
          </w:tcPr>
          <w:p>
            <w:pPr>
              <w:spacing w:line="450" w:lineRule="atLeast"/>
              <w:ind w:firstLine="240" w:firstLineChars="100"/>
              <w:jc w:val="center"/>
              <w:rPr>
                <w:rFonts w:hint="default" w:ascii="宋体" w:hAnsi="宋体" w:cs="宋体" w:eastAsiaTheme="minorEastAsia"/>
                <w:color w:val="555555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  <w:lang w:val="en-US" w:eastAsia="zh-CN"/>
              </w:rPr>
              <w:t>97.31</w:t>
            </w:r>
          </w:p>
        </w:tc>
        <w:tc>
          <w:tcPr>
            <w:tcW w:w="1538" w:type="dxa"/>
            <w:vAlign w:val="center"/>
          </w:tcPr>
          <w:p>
            <w:pPr>
              <w:spacing w:line="450" w:lineRule="atLeast"/>
              <w:ind w:firstLine="240" w:firstLineChars="100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  <w:lang w:val="en-US" w:eastAsia="zh-CN"/>
              </w:rPr>
              <w:t>97.29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3147" w:type="dxa"/>
            <w:gridSpan w:val="2"/>
            <w:vMerge w:val="continue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271" w:type="dxa"/>
            <w:gridSpan w:val="5"/>
            <w:vAlign w:val="center"/>
          </w:tcPr>
          <w:p>
            <w:pPr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</w:rPr>
              <w:t>合计：</w:t>
            </w:r>
          </w:p>
        </w:tc>
        <w:tc>
          <w:tcPr>
            <w:tcW w:w="1522" w:type="dxa"/>
            <w:vAlign w:val="center"/>
          </w:tcPr>
          <w:p>
            <w:pPr>
              <w:spacing w:line="450" w:lineRule="atLeast"/>
              <w:ind w:firstLine="240" w:firstLineChars="100"/>
              <w:jc w:val="center"/>
              <w:rPr>
                <w:rFonts w:hint="default" w:ascii="宋体" w:hAnsi="宋体" w:cs="宋体" w:eastAsiaTheme="minorEastAsia"/>
                <w:color w:val="555555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  <w:lang w:val="en-US" w:eastAsia="zh-CN"/>
              </w:rPr>
              <w:t>98.14</w:t>
            </w:r>
          </w:p>
        </w:tc>
        <w:tc>
          <w:tcPr>
            <w:tcW w:w="1538" w:type="dxa"/>
            <w:vAlign w:val="center"/>
          </w:tcPr>
          <w:p>
            <w:pPr>
              <w:spacing w:line="450" w:lineRule="atLeast"/>
              <w:ind w:firstLine="240" w:firstLineChars="100"/>
              <w:jc w:val="center"/>
              <w:rPr>
                <w:rFonts w:hint="default" w:ascii="宋体" w:hAnsi="宋体" w:cs="宋体" w:eastAsiaTheme="minorEastAsia"/>
                <w:color w:val="555555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  <w:lang w:val="en-US" w:eastAsia="zh-CN"/>
              </w:rPr>
              <w:t>97.96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6.服务承诺</w:t>
            </w:r>
          </w:p>
        </w:tc>
        <w:tc>
          <w:tcPr>
            <w:tcW w:w="7478" w:type="dxa"/>
            <w:gridSpan w:val="9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医疗机构服务承诺内容（见附件3）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2"/>
        <w:tblpPr w:leftFromText="180" w:rightFromText="180" w:vertAnchor="text" w:horzAnchor="page" w:tblpX="1837" w:tblpY="1060"/>
        <w:tblOverlap w:val="never"/>
        <w:tblW w:w="9158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578"/>
        <w:gridCol w:w="1742"/>
        <w:gridCol w:w="1858"/>
        <w:gridCol w:w="2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8" w:type="dxa"/>
            <w:gridSpan w:val="5"/>
            <w:vAlign w:val="top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555555"/>
                <w:kern w:val="0"/>
                <w:sz w:val="24"/>
              </w:rPr>
              <w:t>住院患者前20位单病种平均费用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4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序号</w:t>
            </w:r>
          </w:p>
        </w:tc>
        <w:tc>
          <w:tcPr>
            <w:tcW w:w="257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疾病名称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（按ICD-10编码分类）</w:t>
            </w:r>
          </w:p>
        </w:tc>
        <w:tc>
          <w:tcPr>
            <w:tcW w:w="1742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术式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本期平均费用（元）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上期平均费用（元）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冠心病(诊断组) 计数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4585.04 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4710.97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急性糜烂性胃炎(诊断组) 计数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3733.11 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3603.60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脑梗死（诊断组） 计数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4679.29 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4489.79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慢性阻塞性肺疾病急性加重期/慢性肺源性心脏病（诊断组） 计数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3768.31 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3720.51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短暂性脑缺血发作（诊断组） 计数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4722.03 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4663.80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眩晕综合征（诊断组） 计数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3705.67 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3731.51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支气管肺炎(诊断组) 计数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3473.67 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3538.68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包茎包皮(诊断组) 计数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3089.67 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3387.09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社区获得性肺炎（诊断组） 计数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1673.59 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1926.07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慢性阻塞性肺疾病（诊断组） 计数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4294.43 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3766.73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高血压病（诊断组） 计数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4796.97 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4559.26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功能（障碍）性子宫出血（诊断组） 计数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3528.85 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3696.36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肠梗阻(诊断组) 计数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4052.32 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4072.17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人工流产（诊断组） 计数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3232.31 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4642.95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老年性白内障(诊断组) 计数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3187.86 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3221.00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腰椎间盘突出症(诊断组) 计数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4416.65 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4181.48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肝硬化腹水(诊断组) 计数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4784.50 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5130.52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急性胃炎（诊断组） 计数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4446.06 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4593.49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阑尾炎(诊断组) 计数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4017.13 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3537.07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腰椎间盘突出症(诊断组) 计数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7324.22 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7207.25 </w:t>
            </w:r>
          </w:p>
        </w:tc>
      </w:tr>
    </w:tbl>
    <w:p/>
    <w:p/>
    <w:p/>
    <w:p/>
    <w:p>
      <w:pPr>
        <w:widowControl/>
        <w:tabs>
          <w:tab w:val="left" w:pos="1050"/>
        </w:tabs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  <w:r>
        <w:rPr>
          <w:rFonts w:hint="eastAsia" w:ascii="宋体" w:hAnsi="宋体" w:cs="宋体"/>
          <w:color w:val="555555"/>
          <w:kern w:val="0"/>
          <w:sz w:val="24"/>
        </w:rPr>
        <w:t>信息中心填表说明;:1.</w:t>
      </w:r>
      <w:r>
        <w:rPr>
          <w:rFonts w:ascii="宋体" w:hAnsi="宋体" w:cs="宋体"/>
          <w:color w:val="555555"/>
          <w:kern w:val="0"/>
          <w:sz w:val="24"/>
        </w:rPr>
        <w:t xml:space="preserve"> 总体满意度（%）</w:t>
      </w:r>
      <w:r>
        <w:rPr>
          <w:rFonts w:hint="eastAsia" w:ascii="宋体" w:hAnsi="宋体" w:cs="宋体"/>
          <w:color w:val="555555"/>
          <w:kern w:val="0"/>
          <w:sz w:val="24"/>
        </w:rPr>
        <w:t>=门诊+住院中+出院</w:t>
      </w:r>
    </w:p>
    <w:p>
      <w:pPr>
        <w:widowControl/>
        <w:spacing w:line="450" w:lineRule="atLeast"/>
        <w:ind w:firstLine="2040" w:firstLineChars="850"/>
        <w:jc w:val="left"/>
        <w:rPr>
          <w:rFonts w:ascii="宋体" w:hAnsi="宋体" w:cs="宋体"/>
          <w:color w:val="555555"/>
          <w:kern w:val="0"/>
          <w:szCs w:val="21"/>
        </w:rPr>
      </w:pPr>
      <w:r>
        <w:rPr>
          <w:rFonts w:hint="eastAsia" w:ascii="宋体" w:hAnsi="宋体" w:cs="宋体"/>
          <w:color w:val="555555"/>
          <w:kern w:val="0"/>
          <w:sz w:val="24"/>
        </w:rPr>
        <w:t>2.</w:t>
      </w:r>
      <w:r>
        <w:rPr>
          <w:rFonts w:ascii="宋体" w:hAnsi="宋体" w:cs="宋体"/>
          <w:color w:val="555555"/>
          <w:kern w:val="0"/>
          <w:sz w:val="24"/>
        </w:rPr>
        <w:t>大型设备检查阳性率</w:t>
      </w:r>
      <w:r>
        <w:rPr>
          <w:rFonts w:hint="eastAsia" w:ascii="宋体" w:hAnsi="宋体" w:cs="宋体"/>
          <w:color w:val="555555"/>
          <w:kern w:val="0"/>
          <w:sz w:val="24"/>
        </w:rPr>
        <w:t>：</w:t>
      </w:r>
      <w:r>
        <w:rPr>
          <w:rFonts w:ascii="宋体" w:hAnsi="宋体" w:cs="宋体"/>
          <w:color w:val="555555"/>
          <w:kern w:val="0"/>
          <w:sz w:val="24"/>
        </w:rPr>
        <w:t>彩超</w:t>
      </w:r>
      <w:r>
        <w:rPr>
          <w:rFonts w:hint="eastAsia" w:ascii="宋体" w:hAnsi="宋体" w:cs="宋体"/>
          <w:color w:val="555555"/>
          <w:kern w:val="0"/>
          <w:sz w:val="24"/>
        </w:rPr>
        <w:t>、</w:t>
      </w:r>
      <w:r>
        <w:rPr>
          <w:rFonts w:ascii="宋体" w:hAnsi="宋体" w:cs="宋体"/>
          <w:color w:val="555555"/>
          <w:kern w:val="0"/>
          <w:sz w:val="24"/>
        </w:rPr>
        <w:t>CT</w:t>
      </w:r>
      <w:r>
        <w:rPr>
          <w:rFonts w:hint="eastAsia" w:ascii="宋体" w:hAnsi="宋体" w:cs="宋体"/>
          <w:color w:val="555555"/>
          <w:kern w:val="0"/>
          <w:sz w:val="24"/>
        </w:rPr>
        <w:t>、</w:t>
      </w:r>
      <w:r>
        <w:rPr>
          <w:rFonts w:ascii="宋体" w:hAnsi="宋体" w:cs="宋体"/>
          <w:color w:val="555555"/>
          <w:kern w:val="0"/>
          <w:sz w:val="24"/>
        </w:rPr>
        <w:t>MRI </w:t>
      </w:r>
      <w:r>
        <w:rPr>
          <w:rFonts w:hint="eastAsia" w:ascii="宋体" w:hAnsi="宋体" w:cs="宋体"/>
          <w:color w:val="555555"/>
          <w:kern w:val="0"/>
          <w:sz w:val="24"/>
        </w:rPr>
        <w:t>均获科主任认可</w:t>
      </w:r>
    </w:p>
    <w:p>
      <w:pPr>
        <w:widowControl/>
        <w:tabs>
          <w:tab w:val="left" w:pos="2100"/>
        </w:tabs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  <w:r>
        <w:rPr>
          <w:rFonts w:ascii="宋体" w:hAnsi="宋体" w:cs="宋体"/>
          <w:color w:val="555555"/>
          <w:kern w:val="0"/>
          <w:sz w:val="24"/>
        </w:rPr>
        <w:t> </w:t>
      </w:r>
      <w:r>
        <w:rPr>
          <w:rFonts w:hint="eastAsia" w:ascii="宋体" w:hAnsi="宋体" w:cs="宋体"/>
          <w:color w:val="555555"/>
          <w:kern w:val="0"/>
          <w:sz w:val="24"/>
        </w:rPr>
        <w:tab/>
      </w:r>
      <w:r>
        <w:rPr>
          <w:rFonts w:hint="eastAsia" w:ascii="宋体" w:hAnsi="宋体" w:cs="宋体"/>
          <w:color w:val="555555"/>
          <w:kern w:val="0"/>
          <w:sz w:val="24"/>
        </w:rPr>
        <w:t>3.治愈率好转率：病案首页统计项目已取消</w:t>
      </w:r>
    </w:p>
    <w:p>
      <w:pPr>
        <w:widowControl/>
        <w:tabs>
          <w:tab w:val="left" w:pos="2100"/>
        </w:tabs>
        <w:spacing w:line="450" w:lineRule="atLeast"/>
        <w:jc w:val="left"/>
      </w:pPr>
      <w:r>
        <w:rPr>
          <w:rFonts w:hint="eastAsia" w:ascii="宋体" w:hAnsi="宋体" w:cs="宋体"/>
          <w:color w:val="555555"/>
          <w:kern w:val="0"/>
          <w:szCs w:val="21"/>
        </w:rPr>
        <w:tab/>
      </w:r>
      <w:r>
        <w:rPr>
          <w:rFonts w:hint="eastAsia" w:ascii="宋体" w:hAnsi="宋体" w:cs="宋体"/>
          <w:color w:val="555555"/>
          <w:kern w:val="0"/>
          <w:szCs w:val="21"/>
        </w:rPr>
        <w:t>4.术前待床日：无分类术前待床日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9DE33"/>
    <w:multiLevelType w:val="singleLevel"/>
    <w:tmpl w:val="5779DE33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46B32"/>
    <w:rsid w:val="1BE46B32"/>
    <w:rsid w:val="68276CA4"/>
    <w:rsid w:val="686022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2019-10-15T07:09:00Z</dcterms:created>
  <dc:creator>An1o</dc:creator>
  <cp:lastModifiedBy>An1o</cp:lastModifiedBy>
  <dcterms:modified xsi:type="dcterms:W3CDTF">2019-10-15T07:45:50Z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